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66" w:rsidRDefault="000A029E">
      <w:pPr>
        <w:spacing w:after="0" w:line="240" w:lineRule="auto"/>
        <w:ind w:left="720" w:hanging="36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Guidelines for Souvenir Design Competition</w:t>
      </w:r>
    </w:p>
    <w:p w:rsidR="00996B66" w:rsidRDefault="000A029E">
      <w:pPr>
        <w:spacing w:after="0"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Theme: Celebrating the Cultural Essence of the State of Andhra Pradesh</w:t>
      </w:r>
    </w:p>
    <w:p w:rsidR="00996B66" w:rsidRDefault="00996B66">
      <w:pPr>
        <w:spacing w:after="0" w:line="240" w:lineRule="auto"/>
        <w:rPr>
          <w:rFonts w:ascii="Calibri" w:eastAsia="Calibri" w:hAnsi="Calibri" w:cs="Calibri"/>
          <w:b/>
        </w:rPr>
      </w:pPr>
    </w:p>
    <w:p w:rsidR="00996B66" w:rsidRPr="00534F3E" w:rsidRDefault="000A029E" w:rsidP="00534F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1. Eligibility</w:t>
      </w:r>
    </w:p>
    <w:p w:rsidR="00996B66" w:rsidRPr="00534F3E" w:rsidRDefault="000A029E" w:rsidP="00534F3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The competition is open to artisans and </w:t>
      </w:r>
      <w:r w:rsidR="0024324D" w:rsidRPr="00534F3E">
        <w:rPr>
          <w:rFonts w:ascii="Times New Roman" w:eastAsia="Calibri" w:hAnsi="Times New Roman" w:cs="Times New Roman"/>
          <w:sz w:val="24"/>
        </w:rPr>
        <w:t xml:space="preserve">all </w:t>
      </w:r>
      <w:r w:rsidRPr="00534F3E">
        <w:rPr>
          <w:rFonts w:ascii="Times New Roman" w:eastAsia="Calibri" w:hAnsi="Times New Roman" w:cs="Times New Roman"/>
          <w:sz w:val="24"/>
        </w:rPr>
        <w:t>students who are permanent residents of Andhra Pradesh. All participants must be</w:t>
      </w:r>
      <w:r w:rsidR="0024324D" w:rsidRPr="00534F3E">
        <w:rPr>
          <w:rFonts w:ascii="Times New Roman" w:eastAsia="Calibri" w:hAnsi="Times New Roman" w:cs="Times New Roman"/>
          <w:sz w:val="24"/>
        </w:rPr>
        <w:t xml:space="preserve"> above</w:t>
      </w:r>
      <w:r w:rsidRPr="00534F3E">
        <w:rPr>
          <w:rFonts w:ascii="Times New Roman" w:eastAsia="Calibri" w:hAnsi="Times New Roman" w:cs="Times New Roman"/>
          <w:sz w:val="24"/>
        </w:rPr>
        <w:t xml:space="preserve"> 18 years of age or older at the time of registration.</w:t>
      </w:r>
    </w:p>
    <w:p w:rsidR="00996B66" w:rsidRPr="00534F3E" w:rsidRDefault="00996B66" w:rsidP="0053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96B66" w:rsidRPr="00534F3E" w:rsidRDefault="000A029E" w:rsidP="00534F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2. Theme</w:t>
      </w:r>
    </w:p>
    <w:p w:rsidR="00996B66" w:rsidRPr="00534F3E" w:rsidRDefault="000A029E" w:rsidP="00534F3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Participants are required to submit original Craft-Based Souvenir designs that reflect the cultural, historical, or artistic identity of the state.</w:t>
      </w:r>
    </w:p>
    <w:p w:rsidR="00996B66" w:rsidRPr="00534F3E" w:rsidRDefault="000A029E" w:rsidP="00534F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designs must be specifically conceptualized and created for this competition.</w:t>
      </w:r>
    </w:p>
    <w:p w:rsidR="00996B66" w:rsidRPr="00534F3E" w:rsidRDefault="000A029E" w:rsidP="00534F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Submissions must not replicate or closely resemble any existing products or ideas.</w:t>
      </w:r>
    </w:p>
    <w:p w:rsidR="0062654A" w:rsidRDefault="0062654A" w:rsidP="00534F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996B66" w:rsidRPr="00534F3E" w:rsidRDefault="000A029E" w:rsidP="00534F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3. Registration</w:t>
      </w:r>
    </w:p>
    <w:p w:rsidR="00996B66" w:rsidRPr="00534F3E" w:rsidRDefault="000A029E" w:rsidP="00534F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Interested individuals must register offline within the stipulated deadline.</w:t>
      </w:r>
    </w:p>
    <w:p w:rsidR="00996B66" w:rsidRPr="00534F3E" w:rsidRDefault="000A029E" w:rsidP="00534F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Each participant is allowed to submit only one entry.</w:t>
      </w:r>
    </w:p>
    <w:p w:rsidR="00996B66" w:rsidRPr="00534F3E" w:rsidRDefault="00996B66" w:rsidP="00534F3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996B66" w:rsidRPr="00534F3E" w:rsidRDefault="000A029E" w:rsidP="00534F3E">
      <w:pPr>
        <w:spacing w:after="0" w:line="240" w:lineRule="auto"/>
        <w:ind w:left="270" w:firstLine="9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4. Design Specifications</w:t>
      </w:r>
    </w:p>
    <w:p w:rsidR="00996B66" w:rsidRPr="00534F3E" w:rsidRDefault="000A029E" w:rsidP="00534F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All submitted souvenir designs must adhere to the following guidelines:</w:t>
      </w:r>
    </w:p>
    <w:p w:rsidR="00996B66" w:rsidRPr="00534F3E" w:rsidRDefault="000A029E" w:rsidP="00534F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The souvenir should be portable and easy to transport. </w:t>
      </w:r>
      <w:r w:rsidR="0024324D" w:rsidRPr="00534F3E">
        <w:rPr>
          <w:rFonts w:ascii="Times New Roman" w:eastAsia="Calibri" w:hAnsi="Times New Roman" w:cs="Times New Roman"/>
          <w:sz w:val="24"/>
        </w:rPr>
        <w:t>Should not exceed</w:t>
      </w:r>
      <w:r w:rsidRPr="00534F3E">
        <w:rPr>
          <w:rFonts w:ascii="Times New Roman" w:eastAsia="Calibri" w:hAnsi="Times New Roman" w:cs="Times New Roman"/>
          <w:sz w:val="24"/>
        </w:rPr>
        <w:t xml:space="preserve"> size: 12" x 12" x 12" (for crafts like </w:t>
      </w:r>
      <w:proofErr w:type="spellStart"/>
      <w:r w:rsidRPr="00534F3E">
        <w:rPr>
          <w:rFonts w:ascii="Times New Roman" w:eastAsia="Calibri" w:hAnsi="Times New Roman" w:cs="Times New Roman"/>
          <w:sz w:val="24"/>
        </w:rPr>
        <w:t>Kondapally</w:t>
      </w:r>
      <w:proofErr w:type="spellEnd"/>
      <w:r w:rsidRPr="00534F3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34F3E">
        <w:rPr>
          <w:rFonts w:ascii="Times New Roman" w:eastAsia="Calibri" w:hAnsi="Times New Roman" w:cs="Times New Roman"/>
          <w:sz w:val="24"/>
        </w:rPr>
        <w:t>Etikopakka</w:t>
      </w:r>
      <w:proofErr w:type="spellEnd"/>
      <w:r w:rsidR="00614493">
        <w:rPr>
          <w:rFonts w:ascii="Times New Roman" w:eastAsia="Calibri" w:hAnsi="Times New Roman" w:cs="Times New Roman"/>
          <w:sz w:val="24"/>
        </w:rPr>
        <w:t>, Leather Puppets and Wood Carving</w:t>
      </w:r>
      <w:r w:rsidRPr="00534F3E">
        <w:rPr>
          <w:rFonts w:ascii="Times New Roman" w:eastAsia="Calibri" w:hAnsi="Times New Roman" w:cs="Times New Roman"/>
          <w:sz w:val="24"/>
        </w:rPr>
        <w:t>). No size constraints for Handloom based articles).</w:t>
      </w:r>
    </w:p>
    <w:p w:rsidR="00996B66" w:rsidRPr="00534F3E" w:rsidRDefault="000A029E" w:rsidP="00534F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souvenir must be made using locally sourced materials.</w:t>
      </w:r>
    </w:p>
    <w:p w:rsidR="00996B66" w:rsidRPr="00534F3E" w:rsidRDefault="000A029E" w:rsidP="00534F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souvenir should prioritize eco-friendliness and user safety.</w:t>
      </w:r>
    </w:p>
    <w:p w:rsidR="00996B66" w:rsidRPr="00534F3E" w:rsidRDefault="000A029E" w:rsidP="00534F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A Concept Note (300 words) must accompany each entry, explaining the inspiration, relevance, and design process.</w:t>
      </w:r>
    </w:p>
    <w:p w:rsidR="00996B66" w:rsidRPr="00534F3E" w:rsidRDefault="00996B66" w:rsidP="00534F3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</w:rPr>
      </w:pPr>
    </w:p>
    <w:p w:rsidR="00996B66" w:rsidRPr="00534F3E" w:rsidRDefault="000A029E" w:rsidP="00534F3E">
      <w:pPr>
        <w:spacing w:after="0" w:line="240" w:lineRule="auto"/>
        <w:ind w:left="270" w:firstLine="9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5. Submission Guidelines</w:t>
      </w:r>
    </w:p>
    <w:p w:rsidR="00996B66" w:rsidRPr="00534F3E" w:rsidRDefault="000A029E" w:rsidP="00534F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All submissions must be completed by the announced deadline and must include:</w:t>
      </w:r>
    </w:p>
    <w:p w:rsidR="00996B66" w:rsidRPr="00534F3E" w:rsidRDefault="000A029E" w:rsidP="00534F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A physical </w:t>
      </w:r>
      <w:r w:rsidR="0024324D" w:rsidRPr="00534F3E">
        <w:rPr>
          <w:rFonts w:ascii="Times New Roman" w:eastAsia="Calibri" w:hAnsi="Times New Roman" w:cs="Times New Roman"/>
          <w:sz w:val="24"/>
        </w:rPr>
        <w:t xml:space="preserve">created </w:t>
      </w:r>
      <w:r w:rsidRPr="00534F3E">
        <w:rPr>
          <w:rFonts w:ascii="Times New Roman" w:eastAsia="Calibri" w:hAnsi="Times New Roman" w:cs="Times New Roman"/>
          <w:sz w:val="24"/>
        </w:rPr>
        <w:t>prototype of the souvenir.</w:t>
      </w:r>
    </w:p>
    <w:p w:rsidR="0024324D" w:rsidRDefault="000A029E" w:rsidP="00534F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A minimum of 5 high-quality photographs showing various angles (front, back, top, left, and right).</w:t>
      </w:r>
    </w:p>
    <w:p w:rsidR="00C46B2B" w:rsidRPr="00534F3E" w:rsidRDefault="00C46B2B" w:rsidP="00C46B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996B66" w:rsidRPr="00534F3E" w:rsidRDefault="000A029E" w:rsidP="00534F3E">
      <w:pPr>
        <w:spacing w:after="0" w:line="240" w:lineRule="auto"/>
        <w:ind w:left="270" w:firstLine="90"/>
        <w:jc w:val="both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6. Judging Criteria</w:t>
      </w:r>
    </w:p>
    <w:p w:rsidR="00996B66" w:rsidRPr="00534F3E" w:rsidRDefault="000A029E" w:rsidP="00534F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Entries will be evaluated based on the following weighted criteria:</w:t>
      </w:r>
    </w:p>
    <w:p w:rsidR="00996B66" w:rsidRDefault="00996B66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"/>
        <w:tblW w:w="7095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85"/>
        <w:gridCol w:w="2610"/>
      </w:tblGrid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Evaluation Criteria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Weightage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Creativity and Innovation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25%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Cultural and Historical Relevance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20%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Aesthetic Appeal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15%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Functionality and Practicality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20%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lastRenderedPageBreak/>
              <w:t>Environmental Sustainability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</w:tr>
      <w:tr w:rsidR="00996B66" w:rsidRPr="00534F3E">
        <w:trPr>
          <w:cantSplit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Market Viability and Potential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10%</w:t>
            </w:r>
          </w:p>
        </w:tc>
      </w:tr>
    </w:tbl>
    <w:p w:rsidR="00996B66" w:rsidRDefault="00996B66" w:rsidP="0062654A">
      <w:pPr>
        <w:spacing w:after="0" w:line="240" w:lineRule="auto"/>
        <w:rPr>
          <w:rFonts w:ascii="Calibri" w:eastAsia="Calibri" w:hAnsi="Calibri" w:cs="Calibri"/>
        </w:rPr>
      </w:pPr>
    </w:p>
    <w:p w:rsidR="00996B66" w:rsidRPr="00534F3E" w:rsidRDefault="000A029E" w:rsidP="0024324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</w:rPr>
      </w:pPr>
      <w:r>
        <w:rPr>
          <w:rFonts w:ascii="Calibri" w:eastAsia="Calibri" w:hAnsi="Calibri" w:cs="Calibri"/>
          <w:b/>
        </w:rPr>
        <w:t>7</w:t>
      </w:r>
      <w:r w:rsidRPr="00534F3E">
        <w:rPr>
          <w:rFonts w:ascii="Times New Roman" w:eastAsia="Calibri" w:hAnsi="Times New Roman" w:cs="Times New Roman"/>
          <w:b/>
          <w:sz w:val="24"/>
        </w:rPr>
        <w:t>. Prizes and Recognition</w:t>
      </w:r>
    </w:p>
    <w:p w:rsidR="00996B66" w:rsidRPr="00534F3E" w:rsidRDefault="000A029E" w:rsidP="00626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Cash prizes and certificates will be awarded to the First, Second, and Third prize winners in each craft category.</w:t>
      </w:r>
    </w:p>
    <w:p w:rsidR="00996B66" w:rsidRPr="00534F3E" w:rsidRDefault="000A029E" w:rsidP="00626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Selected souvenirs may be adopted for official use or featured in state-sponsored events and promotions.</w:t>
      </w:r>
    </w:p>
    <w:p w:rsidR="00996B66" w:rsidRPr="00534F3E" w:rsidRDefault="000A029E" w:rsidP="00626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Winning artis</w:t>
      </w:r>
      <w:r w:rsidR="00C46B2B">
        <w:rPr>
          <w:rFonts w:ascii="Times New Roman" w:eastAsia="Calibri" w:hAnsi="Times New Roman" w:cs="Times New Roman"/>
          <w:sz w:val="24"/>
        </w:rPr>
        <w:t xml:space="preserve">ans may receive bulk orders </w:t>
      </w:r>
      <w:r w:rsidRPr="00534F3E">
        <w:rPr>
          <w:rFonts w:ascii="Times New Roman" w:eastAsia="Calibri" w:hAnsi="Times New Roman" w:cs="Times New Roman"/>
          <w:sz w:val="24"/>
        </w:rPr>
        <w:t>following the competition.</w:t>
      </w:r>
      <w:r w:rsidRPr="00534F3E">
        <w:rPr>
          <w:rFonts w:ascii="Times New Roman" w:eastAsia="Calibri" w:hAnsi="Times New Roman" w:cs="Times New Roman"/>
          <w:sz w:val="24"/>
        </w:rPr>
        <w:br/>
      </w:r>
    </w:p>
    <w:p w:rsidR="00996B66" w:rsidRPr="00534F3E" w:rsidRDefault="000A029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Craft Categories and Prize Structure (Tentative)</w:t>
      </w:r>
    </w:p>
    <w:p w:rsidR="00996B66" w:rsidRPr="00534F3E" w:rsidRDefault="00996B66">
      <w:p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</w:rPr>
      </w:pPr>
    </w:p>
    <w:tbl>
      <w:tblPr>
        <w:tblStyle w:val="a0"/>
        <w:tblW w:w="8055" w:type="dxa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05"/>
        <w:gridCol w:w="1470"/>
        <w:gridCol w:w="1425"/>
        <w:gridCol w:w="1455"/>
      </w:tblGrid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Craft Category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1st Prize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2nd Prize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3rd Prize </w:t>
            </w:r>
          </w:p>
        </w:tc>
      </w:tr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Kondapall</w:t>
            </w:r>
            <w:r w:rsidR="0024324D" w:rsidRPr="00534F3E">
              <w:rPr>
                <w:rFonts w:ascii="Times New Roman" w:eastAsia="Calibri" w:hAnsi="Times New Roman" w:cs="Times New Roman"/>
                <w:sz w:val="24"/>
              </w:rPr>
              <w:t>i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</w:t>
            </w:r>
            <w:r w:rsidR="000A029E" w:rsidRPr="00534F3E">
              <w:rPr>
                <w:rFonts w:ascii="Times New Roman" w:eastAsia="Calibri" w:hAnsi="Times New Roman" w:cs="Times New Roman"/>
                <w:sz w:val="24"/>
              </w:rPr>
              <w:t>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</w:t>
            </w:r>
            <w:r w:rsidR="000A029E" w:rsidRPr="00534F3E">
              <w:rPr>
                <w:rFonts w:ascii="Times New Roman" w:eastAsia="Calibri" w:hAnsi="Times New Roman" w:cs="Times New Roman"/>
                <w:sz w:val="24"/>
              </w:rPr>
              <w:t>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</w:t>
            </w:r>
            <w:r w:rsidR="000A029E" w:rsidRPr="00534F3E">
              <w:rPr>
                <w:rFonts w:ascii="Times New Roman" w:eastAsia="Calibri" w:hAnsi="Times New Roman" w:cs="Times New Roman"/>
                <w:sz w:val="24"/>
              </w:rPr>
              <w:t>,000</w:t>
            </w:r>
          </w:p>
        </w:tc>
      </w:tr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Etikopakka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Leather Puppets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Wood Carving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996B66" w:rsidRPr="00534F3E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0A02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 xml:space="preserve">Pen Kalamkari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B66" w:rsidRPr="00534F3E" w:rsidRDefault="002432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C46B2B" w:rsidRPr="00534F3E" w:rsidTr="00042303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Shawl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C46B2B" w:rsidRPr="00534F3E" w:rsidTr="00614493">
        <w:trPr>
          <w:cantSplit/>
          <w:trHeight w:val="339"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Scarf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C46B2B" w:rsidRPr="00534F3E" w:rsidTr="00042303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Waist Coat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C46B2B" w:rsidRPr="00534F3E" w:rsidTr="00042303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Ties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  <w:tr w:rsidR="00C46B2B" w:rsidRPr="00534F3E" w:rsidTr="00042303">
        <w:trPr>
          <w:cantSplit/>
          <w:tblHeader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Cotton </w:t>
            </w: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Sarees</w:t>
            </w:r>
            <w:proofErr w:type="spellEnd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Jacquard Designs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25,000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15,000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B2B" w:rsidRPr="00534F3E" w:rsidRDefault="00C46B2B" w:rsidP="00D475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34F3E">
              <w:rPr>
                <w:rFonts w:ascii="Times New Roman" w:eastAsia="Calibri" w:hAnsi="Times New Roman" w:cs="Times New Roman"/>
                <w:sz w:val="24"/>
              </w:rPr>
              <w:t>Rs. 10,000</w:t>
            </w:r>
          </w:p>
        </w:tc>
      </w:tr>
    </w:tbl>
    <w:p w:rsidR="00996B66" w:rsidRDefault="00996B66">
      <w:pPr>
        <w:spacing w:after="0" w:line="240" w:lineRule="auto"/>
        <w:ind w:left="720" w:hanging="360"/>
        <w:rPr>
          <w:rFonts w:ascii="Calibri" w:eastAsia="Calibri" w:hAnsi="Calibri" w:cs="Calibri"/>
        </w:rPr>
      </w:pPr>
    </w:p>
    <w:p w:rsidR="00996B66" w:rsidRPr="00534F3E" w:rsidRDefault="000A029E" w:rsidP="0024324D">
      <w:pPr>
        <w:spacing w:after="0" w:line="240" w:lineRule="auto"/>
        <w:ind w:left="270" w:firstLine="90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8. Jury Panel Composition</w:t>
      </w:r>
    </w:p>
    <w:p w:rsidR="00996B66" w:rsidRPr="00534F3E" w:rsidRDefault="000A029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jury panel will consist of:</w:t>
      </w:r>
    </w:p>
    <w:p w:rsidR="00C46B2B" w:rsidRDefault="00C46B2B" w:rsidP="00C46B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1 Representative from </w:t>
      </w:r>
      <w:r>
        <w:rPr>
          <w:rFonts w:ascii="Times New Roman" w:eastAsia="Calibri" w:hAnsi="Times New Roman" w:cs="Times New Roman"/>
          <w:sz w:val="24"/>
        </w:rPr>
        <w:t>NID AP</w:t>
      </w:r>
    </w:p>
    <w:p w:rsidR="00C46B2B" w:rsidRPr="00C46B2B" w:rsidRDefault="00C46B2B" w:rsidP="00C46B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1 Representative from </w:t>
      </w:r>
      <w:r>
        <w:rPr>
          <w:rFonts w:ascii="Times New Roman" w:eastAsia="Calibri" w:hAnsi="Times New Roman" w:cs="Times New Roman"/>
          <w:sz w:val="24"/>
        </w:rPr>
        <w:t>DCH</w:t>
      </w:r>
    </w:p>
    <w:p w:rsidR="00996B66" w:rsidRPr="00534F3E" w:rsidRDefault="000A029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1 Representative from APCO</w:t>
      </w:r>
    </w:p>
    <w:p w:rsidR="00C46B2B" w:rsidRPr="00614493" w:rsidRDefault="000A029E" w:rsidP="0061449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1 Representative from Lepakshi</w:t>
      </w:r>
      <w:r w:rsidRPr="00534F3E">
        <w:rPr>
          <w:rFonts w:ascii="Times New Roman" w:eastAsia="Calibri" w:hAnsi="Times New Roman" w:cs="Times New Roman"/>
          <w:sz w:val="24"/>
        </w:rPr>
        <w:br/>
      </w:r>
    </w:p>
    <w:p w:rsidR="00996B66" w:rsidRPr="00534F3E" w:rsidRDefault="000A029E" w:rsidP="0024324D">
      <w:pPr>
        <w:spacing w:after="0" w:line="240" w:lineRule="auto"/>
        <w:ind w:left="270" w:firstLine="90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9. Intellectual Property Rights</w:t>
      </w:r>
    </w:p>
    <w:p w:rsidR="00996B66" w:rsidRPr="00534F3E" w:rsidRDefault="000A029E" w:rsidP="000A02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Participants must own the intellectual property rights to their submitted designs.</w:t>
      </w:r>
    </w:p>
    <w:p w:rsidR="00996B66" w:rsidRPr="00534F3E" w:rsidRDefault="000A029E" w:rsidP="000A02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lastRenderedPageBreak/>
        <w:t>By entering the competition, participants grant the organizers the non-commercial right to publish or exhibit their work.</w:t>
      </w:r>
    </w:p>
    <w:p w:rsidR="00996B66" w:rsidRPr="00534F3E" w:rsidRDefault="000A029E" w:rsidP="000A02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Commercial use of any design will require prior written consent from the designer.</w:t>
      </w:r>
      <w:r w:rsidRPr="00534F3E">
        <w:rPr>
          <w:rFonts w:ascii="Times New Roman" w:eastAsia="Calibri" w:hAnsi="Times New Roman" w:cs="Times New Roman"/>
          <w:b/>
          <w:sz w:val="24"/>
        </w:rPr>
        <w:br/>
      </w:r>
    </w:p>
    <w:p w:rsidR="00996B66" w:rsidRPr="00534F3E" w:rsidRDefault="000A029E" w:rsidP="0024324D">
      <w:pPr>
        <w:spacing w:after="0" w:line="240" w:lineRule="auto"/>
        <w:ind w:left="720" w:hanging="360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10. Disqualification Criteria</w:t>
      </w:r>
    </w:p>
    <w:p w:rsidR="00996B66" w:rsidRPr="00534F3E" w:rsidRDefault="000A029E" w:rsidP="000A029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Entries will be disqualified if:</w:t>
      </w:r>
    </w:p>
    <w:p w:rsidR="00996B66" w:rsidRPr="00534F3E" w:rsidRDefault="000A029E" w:rsidP="000A029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Plagiarism or non-original work is detected.</w:t>
      </w:r>
    </w:p>
    <w:p w:rsidR="00996B66" w:rsidRPr="00534F3E" w:rsidRDefault="000A029E" w:rsidP="000A029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Submissions are made after the deadline.</w:t>
      </w:r>
    </w:p>
    <w:p w:rsidR="00996B66" w:rsidRPr="00534F3E" w:rsidRDefault="000A029E" w:rsidP="000A029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Any competition rules or design specifications are not adhered to.</w:t>
      </w:r>
      <w:r w:rsidRPr="00534F3E">
        <w:rPr>
          <w:rFonts w:ascii="Times New Roman" w:eastAsia="Calibri" w:hAnsi="Times New Roman" w:cs="Times New Roman"/>
          <w:sz w:val="24"/>
        </w:rPr>
        <w:br/>
      </w:r>
    </w:p>
    <w:p w:rsidR="00996B66" w:rsidRPr="00534F3E" w:rsidRDefault="000A029E" w:rsidP="0024324D">
      <w:pPr>
        <w:spacing w:after="0" w:line="240" w:lineRule="auto"/>
        <w:ind w:left="270" w:firstLine="90"/>
        <w:rPr>
          <w:rFonts w:ascii="Times New Roman" w:eastAsia="Calibri" w:hAnsi="Times New Roman" w:cs="Times New Roman"/>
          <w:b/>
          <w:sz w:val="24"/>
        </w:rPr>
      </w:pPr>
      <w:r w:rsidRPr="00534F3E">
        <w:rPr>
          <w:rFonts w:ascii="Times New Roman" w:eastAsia="Calibri" w:hAnsi="Times New Roman" w:cs="Times New Roman"/>
          <w:b/>
          <w:sz w:val="24"/>
        </w:rPr>
        <w:t>11. General Conditions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decision of the jury panel is final and binding.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organizers reserve the right to amend rules, schedules, or competition terms at their discretion.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Submitted entries and materials will not be returned to the participants.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Entries must not contain any provocative, objectionable, or inappropriate content.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In case of copyright disputes, participants will bear full legal responsibility. The organizing department is not liable.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Plagiarism is strictly prohibited. Any such entries will be rejected.</w:t>
      </w:r>
    </w:p>
    <w:p w:rsidR="00996B66" w:rsidRPr="00534F3E" w:rsidRDefault="000A029E" w:rsidP="000A02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participant is solely responsible for meeting submission and technical criteria.</w:t>
      </w:r>
    </w:p>
    <w:p w:rsidR="00534F3E" w:rsidRPr="00534F3E" w:rsidRDefault="000A029E" w:rsidP="00534F3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>The organizing department reserves the right to cancel or modify any part of the competition, including the terms and evaluation process.</w:t>
      </w:r>
    </w:p>
    <w:p w:rsidR="00534F3E" w:rsidRDefault="00534F3E" w:rsidP="00534F3E">
      <w:pPr>
        <w:pStyle w:val="ListParagraph"/>
        <w:numPr>
          <w:ilvl w:val="0"/>
          <w:numId w:val="11"/>
        </w:num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4F3E">
        <w:rPr>
          <w:rFonts w:ascii="Times New Roman" w:eastAsia="Times New Roman" w:hAnsi="Times New Roman" w:cs="Times New Roman"/>
          <w:b/>
          <w:bCs/>
          <w:sz w:val="27"/>
          <w:szCs w:val="27"/>
        </w:rPr>
        <w:t>Craft Clusters and Problem Statements for Handicrafts:</w:t>
      </w:r>
    </w:p>
    <w:p w:rsidR="00407D9F" w:rsidRPr="00534F3E" w:rsidRDefault="00407D9F" w:rsidP="00407D9F">
      <w:pPr>
        <w:pStyle w:val="ListParagraph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607"/>
        <w:gridCol w:w="1405"/>
        <w:gridCol w:w="5578"/>
      </w:tblGrid>
      <w:tr w:rsidR="00CB3E6E" w:rsidRPr="0085272A" w:rsidTr="002F46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Craft Name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Statement</w:t>
            </w:r>
          </w:p>
        </w:tc>
      </w:tr>
      <w:tr w:rsidR="00CB3E6E" w:rsidRPr="0085272A" w:rsidTr="002F4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Kondapalli</w:t>
            </w:r>
            <w:proofErr w:type="spellEnd"/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Toys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NTR 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CB3E6E" w:rsidP="00CB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Preferably</w:t>
            </w:r>
            <w:r w:rsidR="00C46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 Pne</w:t>
            </w:r>
            <w:r w:rsidR="00534F3E">
              <w:rPr>
                <w:rFonts w:ascii="Times New Roman" w:eastAsia="Times New Roman" w:hAnsi="Times New Roman" w:cs="Times New Roman"/>
                <w:sz w:val="24"/>
                <w:szCs w:val="24"/>
              </w:rPr>
              <w:t>umatic/automation movements</w:t>
            </w:r>
            <w:r w:rsidR="00534F3E"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Toy </w:t>
            </w:r>
            <w:r w:rsidR="00534F3E"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process and adoption of proper </w:t>
            </w:r>
            <w:r w:rsidR="0053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Vegetable dyes </w:t>
            </w:r>
          </w:p>
        </w:tc>
      </w:tr>
      <w:tr w:rsidR="00CB3E6E" w:rsidRPr="0085272A" w:rsidTr="002F4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Etikoppaka</w:t>
            </w:r>
            <w:proofErr w:type="spellEnd"/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Toys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Anakapalli 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CB3E6E" w:rsidP="00CB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Preferably create Pneumatic/Motorized automation movements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Toy 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process and adoption of proper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dyes</w:t>
            </w:r>
          </w:p>
        </w:tc>
      </w:tr>
      <w:tr w:rsidR="00CB3E6E" w:rsidRPr="0085272A" w:rsidTr="002F4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Wood Carvings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Tirupati</w:t>
            </w:r>
            <w:proofErr w:type="spellEnd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new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Souvenirs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designs incorporating </w:t>
            </w:r>
            <w:r w:rsidR="00CB3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icons of AP applying 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antique colo</w:t>
            </w:r>
            <w:r w:rsidR="0062654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r themes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suitable for interiors/utility based products</w:t>
            </w:r>
          </w:p>
        </w:tc>
      </w:tr>
      <w:tr w:rsidR="00CB3E6E" w:rsidRPr="0085272A" w:rsidTr="002F4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Kalamkari</w:t>
            </w:r>
            <w:r w:rsidR="00CB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Block Print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CB3E6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Krishna</w:t>
            </w:r>
            <w:r w:rsidR="00534F3E"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CB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Promotion of organic colo</w:t>
            </w:r>
            <w:r w:rsidR="0062654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usage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create new designs</w:t>
            </w:r>
            <w:r w:rsidR="00626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home utility products </w:t>
            </w:r>
            <w:r w:rsidR="00CB3E6E">
              <w:rPr>
                <w:rFonts w:ascii="Times New Roman" w:eastAsia="Times New Roman" w:hAnsi="Times New Roman" w:cs="Times New Roman"/>
                <w:sz w:val="24"/>
                <w:szCs w:val="24"/>
              </w:rPr>
              <w:t>/Special designs representing AP themes</w:t>
            </w:r>
          </w:p>
        </w:tc>
      </w:tr>
      <w:tr w:rsidR="00CB3E6E" w:rsidRPr="0085272A" w:rsidTr="002F46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Leather Puppetry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534F3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Satya</w:t>
            </w:r>
            <w:proofErr w:type="spellEnd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  <w:vAlign w:val="center"/>
            <w:hideMark/>
          </w:tcPr>
          <w:p w:rsidR="00534F3E" w:rsidRPr="0085272A" w:rsidRDefault="00CB3E6E" w:rsidP="002F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34F3E" w:rsidRPr="0085272A">
              <w:rPr>
                <w:rFonts w:ascii="Times New Roman" w:eastAsia="Times New Roman" w:hAnsi="Times New Roman" w:cs="Times New Roman"/>
                <w:sz w:val="24"/>
                <w:szCs w:val="24"/>
              </w:rPr>
              <w:t>ntroduction of modern design patterns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 interior decorative designs and</w:t>
            </w:r>
            <w:r w:rsidR="0040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utility base products </w:t>
            </w:r>
          </w:p>
        </w:tc>
      </w:tr>
    </w:tbl>
    <w:p w:rsidR="004A0BAA" w:rsidRDefault="004A0BAA" w:rsidP="004A0BAA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46B2B" w:rsidRDefault="00C46B2B" w:rsidP="004A0BAA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34F3E" w:rsidRPr="00534F3E" w:rsidRDefault="00534F3E" w:rsidP="00534F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4F3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Products and Problem Statement for Handlooms:</w:t>
      </w:r>
    </w:p>
    <w:tbl>
      <w:tblPr>
        <w:tblW w:w="93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1802"/>
        <w:gridCol w:w="1530"/>
        <w:gridCol w:w="5542"/>
      </w:tblGrid>
      <w:tr w:rsidR="00C46B2B" w:rsidRPr="00AB3904" w:rsidTr="00407D9F">
        <w:trPr>
          <w:trHeight w:val="70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AB3904" w:rsidRDefault="00C46B2B" w:rsidP="00C46B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AB3904" w:rsidRDefault="00C46B2B" w:rsidP="00C46B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AB3904" w:rsidRDefault="00C46B2B" w:rsidP="00C46B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AB3904" w:rsidRDefault="00C46B2B" w:rsidP="00C46B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Statement</w:t>
            </w:r>
          </w:p>
        </w:tc>
      </w:tr>
      <w:tr w:rsidR="00C46B2B" w:rsidRPr="00AB3904" w:rsidTr="00407D9F">
        <w:trPr>
          <w:trHeight w:val="122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Shawl</w:t>
            </w:r>
          </w:p>
          <w:p w:rsidR="00C46B2B" w:rsidRPr="00824827" w:rsidRDefault="00C46B2B" w:rsidP="00407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[40 inch width 80 inch length]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407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Dharmavaram</w:t>
            </w:r>
            <w:proofErr w:type="spellEnd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Madanapalli</w:t>
            </w:r>
            <w:proofErr w:type="spellEnd"/>
          </w:p>
          <w:p w:rsidR="00C46B2B" w:rsidRPr="00C46B2B" w:rsidRDefault="00C46B2B" w:rsidP="00407D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Uppada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407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Any specified location handloom can be selected to design innovative shawls with unique embellishments of AP using handloom techniques by developing premium fabric specifications, to boost production and appeal.</w:t>
            </w:r>
          </w:p>
        </w:tc>
      </w:tr>
      <w:tr w:rsidR="00C46B2B" w:rsidRPr="00AB3904" w:rsidTr="00407D9F">
        <w:trPr>
          <w:trHeight w:val="843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407D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Scarf</w:t>
            </w:r>
          </w:p>
          <w:p w:rsidR="00C46B2B" w:rsidRPr="00824827" w:rsidRDefault="00C46B2B" w:rsidP="00407D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[30 inch width 60 inch length]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Uppada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Reimagine</w:t>
            </w:r>
            <w:proofErr w:type="spellEnd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handloom scarves with improved fabric quality, use of natural dyes, and creative post-loom value additions to elevate market presence.</w:t>
            </w:r>
          </w:p>
        </w:tc>
      </w:tr>
      <w:tr w:rsidR="00C46B2B" w:rsidRPr="00AB3904" w:rsidTr="00407D9F">
        <w:trPr>
          <w:trHeight w:val="843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Waist Coat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Any place in AP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Design premium-quality waist coats using suitable handloom fabrics and introduce styles that blend traditional craftsmanship with modern fashion.</w:t>
            </w:r>
          </w:p>
        </w:tc>
      </w:tr>
      <w:tr w:rsidR="00C46B2B" w:rsidRPr="00AB3904" w:rsidTr="00407D9F">
        <w:trPr>
          <w:trHeight w:val="843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Mangalgiri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Create high-end handloom ties by selecting appropriate fabrics and applying contemporary design approaches that reflect elegance and tradition.</w:t>
            </w:r>
          </w:p>
        </w:tc>
      </w:tr>
      <w:tr w:rsidR="00C46B2B" w:rsidRPr="00AB3904" w:rsidTr="00407D9F">
        <w:trPr>
          <w:trHeight w:val="843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824827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Cotton </w:t>
            </w:r>
            <w:proofErr w:type="spellStart"/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Sarees</w:t>
            </w:r>
            <w:proofErr w:type="spellEnd"/>
            <w:r w:rsidRPr="00824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Jacquard Designs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Bandar, Rajahmundry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2B" w:rsidRPr="00C46B2B" w:rsidRDefault="00C46B2B" w:rsidP="00C46B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Modernize cotton </w:t>
            </w:r>
            <w:proofErr w:type="spellStart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>sarees</w:t>
            </w:r>
            <w:proofErr w:type="spellEnd"/>
            <w:r w:rsidRPr="00C4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incorporating jacquard designs into Bandar and Rajahmundry handlooms to align with current fashion trends and boost visual appeal.</w:t>
            </w:r>
          </w:p>
        </w:tc>
      </w:tr>
    </w:tbl>
    <w:p w:rsidR="00534F3E" w:rsidRDefault="00534F3E" w:rsidP="00534F3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F3E" w:rsidRPr="00534F3E" w:rsidRDefault="00534F3E" w:rsidP="00534F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34F3E">
        <w:rPr>
          <w:rFonts w:ascii="Times New Roman" w:eastAsia="Calibri" w:hAnsi="Times New Roman" w:cs="Times New Roman"/>
          <w:sz w:val="24"/>
        </w:rPr>
        <w:t xml:space="preserve">Note: The applicants should try to involve the above problem solutions in their new designs </w:t>
      </w:r>
      <w:proofErr w:type="gramStart"/>
      <w:r w:rsidRPr="00534F3E">
        <w:rPr>
          <w:rFonts w:ascii="Times New Roman" w:eastAsia="Calibri" w:hAnsi="Times New Roman" w:cs="Times New Roman"/>
          <w:sz w:val="24"/>
        </w:rPr>
        <w:t>theme</w:t>
      </w:r>
      <w:proofErr w:type="gramEnd"/>
      <w:r w:rsidRPr="00534F3E">
        <w:rPr>
          <w:rFonts w:ascii="Times New Roman" w:eastAsia="Calibri" w:hAnsi="Times New Roman" w:cs="Times New Roman"/>
          <w:sz w:val="24"/>
        </w:rPr>
        <w:t xml:space="preserve"> while submitting the final souvenir for Design Competition</w:t>
      </w:r>
    </w:p>
    <w:sectPr w:rsidR="00534F3E" w:rsidRPr="00534F3E" w:rsidSect="00996B66">
      <w:pgSz w:w="12240" w:h="15840"/>
      <w:pgMar w:top="1440" w:right="180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C8E"/>
    <w:multiLevelType w:val="multilevel"/>
    <w:tmpl w:val="DC3C9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7617FC"/>
    <w:multiLevelType w:val="multilevel"/>
    <w:tmpl w:val="B1940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A2583F"/>
    <w:multiLevelType w:val="multilevel"/>
    <w:tmpl w:val="46D6F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1C0007"/>
    <w:multiLevelType w:val="hybridMultilevel"/>
    <w:tmpl w:val="5860E85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1AB8"/>
    <w:multiLevelType w:val="multilevel"/>
    <w:tmpl w:val="89889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EF435ED"/>
    <w:multiLevelType w:val="multilevel"/>
    <w:tmpl w:val="26ACE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56D601B"/>
    <w:multiLevelType w:val="multilevel"/>
    <w:tmpl w:val="787CD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80733F7"/>
    <w:multiLevelType w:val="multilevel"/>
    <w:tmpl w:val="78665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FAE1E81"/>
    <w:multiLevelType w:val="multilevel"/>
    <w:tmpl w:val="E28EF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C266567"/>
    <w:multiLevelType w:val="multilevel"/>
    <w:tmpl w:val="5E12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7E87786"/>
    <w:multiLevelType w:val="multilevel"/>
    <w:tmpl w:val="41D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0739F"/>
    <w:multiLevelType w:val="multilevel"/>
    <w:tmpl w:val="E47AB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6B66"/>
    <w:rsid w:val="000A029E"/>
    <w:rsid w:val="0024324D"/>
    <w:rsid w:val="00407D9F"/>
    <w:rsid w:val="0047656D"/>
    <w:rsid w:val="004A0BAA"/>
    <w:rsid w:val="005059C7"/>
    <w:rsid w:val="00534F3E"/>
    <w:rsid w:val="00563D55"/>
    <w:rsid w:val="00614493"/>
    <w:rsid w:val="0062654A"/>
    <w:rsid w:val="00996B66"/>
    <w:rsid w:val="00BF5D58"/>
    <w:rsid w:val="00C46B2B"/>
    <w:rsid w:val="00CB3E6E"/>
    <w:rsid w:val="00F9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6B66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996B66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ind w:left="720" w:hanging="36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ind w:left="720" w:hanging="36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F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376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">
    <w:basedOn w:val="TableNormal"/>
    <w:rsid w:val="00996B6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6B6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VQK68Ad1+xTCwRymFYF9mwnew==">CgMxLjAaHwoBMBIaChgICVIUChJ0YWJsZS52YjljcnZoZ2Zsd3EaHwoBMRIaChgICVIUChJ0YWJsZS5taW9mcjJ6ZzZoejM4AHIhMW9XRmhMX0ltTkc0Zm1ZOHpNYk9ZbDBJV1p3SUs2Z3lD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raju bh</cp:lastModifiedBy>
  <cp:revision>2</cp:revision>
  <cp:lastPrinted>2025-06-06T10:46:00Z</cp:lastPrinted>
  <dcterms:created xsi:type="dcterms:W3CDTF">2025-06-11T08:35:00Z</dcterms:created>
  <dcterms:modified xsi:type="dcterms:W3CDTF">2025-06-11T08:35:00Z</dcterms:modified>
</cp:coreProperties>
</file>